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84" w:rsidRPr="008A17BD" w:rsidRDefault="00A54984" w:rsidP="00A54984">
      <w:pPr>
        <w:spacing w:before="330" w:after="165" w:line="240" w:lineRule="auto"/>
        <w:jc w:val="center"/>
        <w:outlineLvl w:val="1"/>
        <w:rPr>
          <w:rFonts w:ascii="inherit" w:eastAsia="Times New Roman" w:hAnsi="inherit" w:cs="Arial"/>
          <w:color w:val="293A55"/>
          <w:sz w:val="36"/>
          <w:szCs w:val="36"/>
          <w:lang w:eastAsia="ru-RU"/>
        </w:rPr>
      </w:pPr>
      <w:r w:rsidRPr="008A17BD">
        <w:rPr>
          <w:rFonts w:ascii="inherit" w:eastAsia="Times New Roman" w:hAnsi="inherit" w:cs="Arial"/>
          <w:b/>
          <w:bCs/>
          <w:color w:val="293A55"/>
          <w:sz w:val="36"/>
          <w:szCs w:val="36"/>
          <w:lang w:eastAsia="ru-RU"/>
        </w:rPr>
        <w:t>МІНІСТЕРСТВО АГРАРНОЇ ПОЛІТИКИ ТА ПРОДОВОЛЬСТВА УКРАЇНИ</w:t>
      </w:r>
    </w:p>
    <w:p w:rsidR="00A54984" w:rsidRPr="008A17BD" w:rsidRDefault="00A54984" w:rsidP="00A54984">
      <w:pPr>
        <w:spacing w:before="330" w:after="165" w:line="240" w:lineRule="auto"/>
        <w:jc w:val="center"/>
        <w:outlineLvl w:val="1"/>
        <w:rPr>
          <w:rFonts w:ascii="inherit" w:eastAsia="Times New Roman" w:hAnsi="inherit" w:cs="Arial"/>
          <w:color w:val="293A55"/>
          <w:sz w:val="36"/>
          <w:szCs w:val="36"/>
          <w:lang w:eastAsia="ru-RU"/>
        </w:rPr>
      </w:pPr>
      <w:r w:rsidRPr="008A17BD">
        <w:rPr>
          <w:rFonts w:ascii="inherit" w:eastAsia="Times New Roman" w:hAnsi="inherit" w:cs="Arial"/>
          <w:b/>
          <w:bCs/>
          <w:color w:val="293A55"/>
          <w:sz w:val="36"/>
          <w:szCs w:val="36"/>
          <w:lang w:eastAsia="ru-RU"/>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274"/>
        <w:gridCol w:w="2807"/>
        <w:gridCol w:w="3274"/>
      </w:tblGrid>
      <w:tr w:rsidR="00A54984" w:rsidRPr="008A17BD" w:rsidTr="006E43EC">
        <w:tc>
          <w:tcPr>
            <w:tcW w:w="1750" w:type="pct"/>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26.06.2025</w:t>
            </w:r>
          </w:p>
        </w:tc>
        <w:tc>
          <w:tcPr>
            <w:tcW w:w="1500" w:type="pct"/>
            <w:shd w:val="clear" w:color="auto" w:fill="auto"/>
            <w:tcMar>
              <w:top w:w="0" w:type="dxa"/>
              <w:left w:w="0" w:type="dxa"/>
              <w:bottom w:w="0" w:type="dxa"/>
              <w:right w:w="0" w:type="dxa"/>
            </w:tcMar>
            <w:vAlign w:val="center"/>
            <w:hideMark/>
          </w:tcPr>
          <w:p w:rsidR="00A54984" w:rsidRPr="008A17BD" w:rsidRDefault="00A54984" w:rsidP="00A54984">
            <w:pPr>
              <w:spacing w:after="165" w:line="240" w:lineRule="auto"/>
              <w:jc w:val="right"/>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м. Київ</w:t>
            </w:r>
          </w:p>
        </w:tc>
        <w:tc>
          <w:tcPr>
            <w:tcW w:w="1750" w:type="pct"/>
            <w:shd w:val="clear" w:color="auto" w:fill="auto"/>
            <w:tcMar>
              <w:top w:w="0" w:type="dxa"/>
              <w:left w:w="0" w:type="dxa"/>
              <w:bottom w:w="0" w:type="dxa"/>
              <w:right w:w="0" w:type="dxa"/>
            </w:tcMar>
            <w:vAlign w:val="center"/>
            <w:hideMark/>
          </w:tcPr>
          <w:p w:rsidR="00A54984" w:rsidRPr="008A17BD" w:rsidRDefault="00A54984" w:rsidP="00A54984">
            <w:pPr>
              <w:spacing w:after="165" w:line="240" w:lineRule="auto"/>
              <w:jc w:val="right"/>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N 1900</w:t>
            </w:r>
          </w:p>
        </w:tc>
      </w:tr>
    </w:tbl>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b/>
          <w:bCs/>
          <w:color w:val="293A55"/>
          <w:sz w:val="24"/>
          <w:szCs w:val="24"/>
          <w:lang w:eastAsia="ru-RU"/>
        </w:rPr>
        <w:t>Зареєстровано в Міністерстві юстиції України</w:t>
      </w:r>
      <w:r w:rsidRPr="008A17BD">
        <w:rPr>
          <w:rFonts w:ascii="Arial" w:eastAsia="Times New Roman" w:hAnsi="Arial" w:cs="Arial"/>
          <w:b/>
          <w:bCs/>
          <w:color w:val="293A55"/>
          <w:sz w:val="24"/>
          <w:szCs w:val="24"/>
          <w:lang w:eastAsia="ru-RU"/>
        </w:rPr>
        <w:br/>
        <w:t>30 червня 2025 р. за N 1007/44413</w:t>
      </w:r>
    </w:p>
    <w:p w:rsidR="00A54984" w:rsidRPr="008A17BD" w:rsidRDefault="00A54984" w:rsidP="00A54984">
      <w:pPr>
        <w:spacing w:before="330" w:after="165" w:line="240" w:lineRule="auto"/>
        <w:jc w:val="center"/>
        <w:outlineLvl w:val="1"/>
        <w:rPr>
          <w:rFonts w:ascii="inherit" w:eastAsia="Times New Roman" w:hAnsi="inherit" w:cs="Arial"/>
          <w:color w:val="293A55"/>
          <w:sz w:val="36"/>
          <w:szCs w:val="36"/>
          <w:lang w:eastAsia="ru-RU"/>
        </w:rPr>
      </w:pPr>
      <w:r w:rsidRPr="008A17BD">
        <w:rPr>
          <w:rFonts w:ascii="inherit" w:eastAsia="Times New Roman" w:hAnsi="inherit" w:cs="Arial"/>
          <w:b/>
          <w:bCs/>
          <w:color w:val="293A55"/>
          <w:sz w:val="36"/>
          <w:szCs w:val="36"/>
          <w:lang w:eastAsia="ru-RU"/>
        </w:rPr>
        <w:t>Про внесення змін до Розрахунку частки сільськогосп</w:t>
      </w:r>
      <w:bookmarkStart w:id="0" w:name="_GoBack"/>
      <w:bookmarkEnd w:id="0"/>
      <w:r w:rsidRPr="008A17BD">
        <w:rPr>
          <w:rFonts w:ascii="inherit" w:eastAsia="Times New Roman" w:hAnsi="inherit" w:cs="Arial"/>
          <w:b/>
          <w:bCs/>
          <w:color w:val="293A55"/>
          <w:sz w:val="36"/>
          <w:szCs w:val="36"/>
          <w:lang w:eastAsia="ru-RU"/>
        </w:rPr>
        <w:t xml:space="preserve">одарського </w:t>
      </w:r>
      <w:proofErr w:type="spellStart"/>
      <w:r w:rsidRPr="008A17BD">
        <w:rPr>
          <w:rFonts w:ascii="inherit" w:eastAsia="Times New Roman" w:hAnsi="inherit" w:cs="Arial"/>
          <w:b/>
          <w:bCs/>
          <w:color w:val="293A55"/>
          <w:sz w:val="36"/>
          <w:szCs w:val="36"/>
          <w:lang w:eastAsia="ru-RU"/>
        </w:rPr>
        <w:t>товаровиробництва</w:t>
      </w:r>
      <w:proofErr w:type="spellEnd"/>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Відповідно до абзацу четвертого </w:t>
      </w:r>
      <w:r w:rsidRPr="008A17BD">
        <w:rPr>
          <w:rFonts w:ascii="Arial" w:eastAsia="Times New Roman" w:hAnsi="Arial" w:cs="Arial"/>
          <w:color w:val="000000"/>
          <w:sz w:val="24"/>
          <w:szCs w:val="24"/>
          <w:lang w:eastAsia="ru-RU"/>
        </w:rPr>
        <w:t>підпункту 298.8.1 пункту 298.8 статті 298 глави 1 розділу XIV Податкового кодексу України</w:t>
      </w:r>
      <w:r w:rsidRPr="008A17BD">
        <w:rPr>
          <w:rFonts w:ascii="Arial" w:eastAsia="Times New Roman" w:hAnsi="Arial" w:cs="Arial"/>
          <w:color w:val="293A55"/>
          <w:sz w:val="24"/>
          <w:szCs w:val="24"/>
          <w:lang w:eastAsia="ru-RU"/>
        </w:rPr>
        <w:t>, пункту 8 Положення про Міністерство аграрної політики та продовольства України, затвердженого </w:t>
      </w:r>
      <w:r w:rsidRPr="008A17BD">
        <w:rPr>
          <w:rFonts w:ascii="Arial" w:eastAsia="Times New Roman" w:hAnsi="Arial" w:cs="Arial"/>
          <w:color w:val="000000"/>
          <w:sz w:val="24"/>
          <w:szCs w:val="24"/>
          <w:lang w:eastAsia="ru-RU"/>
        </w:rPr>
        <w:t>постановою Кабінету Міністрів України від 17 лютого 2021 року N 124</w:t>
      </w:r>
      <w:r w:rsidRPr="008A17BD">
        <w:rPr>
          <w:rFonts w:ascii="Arial" w:eastAsia="Times New Roman" w:hAnsi="Arial" w:cs="Arial"/>
          <w:color w:val="293A55"/>
          <w:sz w:val="24"/>
          <w:szCs w:val="24"/>
          <w:lang w:eastAsia="ru-RU"/>
        </w:rPr>
        <w:t>,</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b/>
          <w:bCs/>
          <w:color w:val="293A55"/>
          <w:sz w:val="24"/>
          <w:szCs w:val="24"/>
          <w:lang w:eastAsia="ru-RU"/>
        </w:rPr>
        <w:t>НАКАЗУЮ:</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 xml:space="preserve">1. </w:t>
      </w:r>
      <w:proofErr w:type="spellStart"/>
      <w:r w:rsidRPr="008A17BD">
        <w:rPr>
          <w:rFonts w:ascii="Arial" w:eastAsia="Times New Roman" w:hAnsi="Arial" w:cs="Arial"/>
          <w:color w:val="293A55"/>
          <w:sz w:val="24"/>
          <w:szCs w:val="24"/>
          <w:lang w:eastAsia="ru-RU"/>
        </w:rPr>
        <w:t>Внести</w:t>
      </w:r>
      <w:proofErr w:type="spellEnd"/>
      <w:r w:rsidRPr="008A17BD">
        <w:rPr>
          <w:rFonts w:ascii="Arial" w:eastAsia="Times New Roman" w:hAnsi="Arial" w:cs="Arial"/>
          <w:color w:val="293A55"/>
          <w:sz w:val="24"/>
          <w:szCs w:val="24"/>
          <w:lang w:eastAsia="ru-RU"/>
        </w:rPr>
        <w:t xml:space="preserve"> до Розрахунку частки сільськогосподарського </w:t>
      </w:r>
      <w:proofErr w:type="spellStart"/>
      <w:r w:rsidRPr="008A17BD">
        <w:rPr>
          <w:rFonts w:ascii="Arial" w:eastAsia="Times New Roman" w:hAnsi="Arial" w:cs="Arial"/>
          <w:color w:val="293A55"/>
          <w:sz w:val="24"/>
          <w:szCs w:val="24"/>
          <w:lang w:eastAsia="ru-RU"/>
        </w:rPr>
        <w:t>товаровиробництва</w:t>
      </w:r>
      <w:proofErr w:type="spellEnd"/>
      <w:r w:rsidRPr="008A17BD">
        <w:rPr>
          <w:rFonts w:ascii="Arial" w:eastAsia="Times New Roman" w:hAnsi="Arial" w:cs="Arial"/>
          <w:color w:val="293A55"/>
          <w:sz w:val="24"/>
          <w:szCs w:val="24"/>
          <w:lang w:eastAsia="ru-RU"/>
        </w:rPr>
        <w:t>, затвердженого </w:t>
      </w:r>
      <w:r w:rsidRPr="008A17BD">
        <w:rPr>
          <w:rFonts w:ascii="Arial" w:eastAsia="Times New Roman" w:hAnsi="Arial" w:cs="Arial"/>
          <w:color w:val="000000"/>
          <w:sz w:val="24"/>
          <w:szCs w:val="24"/>
          <w:lang w:eastAsia="ru-RU"/>
        </w:rPr>
        <w:t>наказом Міністерства аграрної політики та продовольства України від 26 грудня 2011 року N 772</w:t>
      </w:r>
      <w:r w:rsidRPr="008A17BD">
        <w:rPr>
          <w:rFonts w:ascii="Arial" w:eastAsia="Times New Roman" w:hAnsi="Arial" w:cs="Arial"/>
          <w:color w:val="293A55"/>
          <w:sz w:val="24"/>
          <w:szCs w:val="24"/>
          <w:lang w:eastAsia="ru-RU"/>
        </w:rPr>
        <w:t>, зареєстрованим в Міністерстві юстиції України 06 квітня 2012 року за N 510/20823 (в редакції </w:t>
      </w:r>
      <w:r w:rsidRPr="008A17BD">
        <w:rPr>
          <w:rFonts w:ascii="Arial" w:eastAsia="Times New Roman" w:hAnsi="Arial" w:cs="Arial"/>
          <w:color w:val="000000"/>
          <w:sz w:val="24"/>
          <w:szCs w:val="24"/>
          <w:lang w:eastAsia="ru-RU"/>
        </w:rPr>
        <w:t>наказу Міністерства аграрної політики та продовольства України від 29 листопада 2022 року N 955</w:t>
      </w:r>
      <w:r w:rsidRPr="008A17BD">
        <w:rPr>
          <w:rFonts w:ascii="Arial" w:eastAsia="Times New Roman" w:hAnsi="Arial" w:cs="Arial"/>
          <w:color w:val="293A55"/>
          <w:sz w:val="24"/>
          <w:szCs w:val="24"/>
          <w:lang w:eastAsia="ru-RU"/>
        </w:rPr>
        <w:t>), такі зміни:</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1) графу "Джерела інформації" рядка 1.1 викласти у такій редакції:</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A54984" w:rsidRPr="008A17BD" w:rsidTr="006E43EC">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кредитові обороти за субрахунком 701 "Дохід від реалізації готової продукції", аналітичні рахунки продукції рослинництва (без податку на додану вартість) та кредитові обороти за субрахунком 712 "Дохід від реалізації інших оборотних активів", аналітичні рахунки реалізації довгострокових біологічних активів рослинництва (без податку на додану вартість), що обліковуються за первісною вартістю та/або справедливою вартістю</w:t>
            </w:r>
          </w:p>
        </w:tc>
      </w:tr>
    </w:tbl>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2) графу "Джерела інформації" рядка 1.2 викласти у такій редакції:</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A54984" w:rsidRPr="008A17BD" w:rsidTr="006E43EC">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кредитові обороти за субрахунком 701 "Дохід від реалізації готової продукції", аналітичні рахунки продукції рослинництва (без податку на додану вартість) та кредитові обороти за субрахунком 712 "Дохід від реалізації інших оборотних активів", аналітичні рахунки реалізації довгострокових біологічних активів рослинництва (без податку на додану вартість), що обліковуються за первісною вартістю та/або справедливою вартістю</w:t>
            </w:r>
          </w:p>
        </w:tc>
      </w:tr>
    </w:tbl>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3) графу "Джерела інформації" рядка 2 викласти у такій редакції:</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A54984" w:rsidRPr="008A17BD" w:rsidTr="006E43EC">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lastRenderedPageBreak/>
              <w:t>кредитові обороти в частині відображення сум в порядку закриття рахунків доходів за субрахунками: 791 "Результат операційної діяльності"; 792 "Результат фінансових операцій"; 793 "Результат іншої діяльності</w:t>
            </w:r>
          </w:p>
        </w:tc>
      </w:tr>
    </w:tbl>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4) рядок 3.5 викласти у такій редакції:</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1"/>
        <w:gridCol w:w="2988"/>
        <w:gridCol w:w="4856"/>
        <w:gridCol w:w="934"/>
      </w:tblGrid>
      <w:tr w:rsidR="00A54984" w:rsidRPr="008A17BD" w:rsidTr="006E43E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3.5</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Сума доходу від списаної кредиторської заборгованості</w:t>
            </w:r>
          </w:p>
        </w:tc>
        <w:tc>
          <w:tcPr>
            <w:tcW w:w="2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кредитові обороти за субрахунком 717 "Дохід від списання кредиторської заборгованості" та кредитові обороти за субрахунком 746 "Інші доходи" в частині доходів від списання кредиторської заборгованості, що не виникла у ході операційного циклу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 </w:t>
            </w:r>
          </w:p>
        </w:tc>
      </w:tr>
    </w:tbl>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2. Департаменту аграрного ринку, фінансових інструментів та бюджетної політики забезпечити подання цього наказу на державну реєстрацію до Міністерства юстиції України в установленому законодавством порядку.</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3. Цей наказ набирає чинності з дня його офіційного опублікування.</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4. Контроль за виконанням цього наказу покласти на державного секретаря Міністерства аграрної політики та продовольства України.</w:t>
      </w:r>
    </w:p>
    <w:p w:rsidR="00A54984" w:rsidRPr="008A17BD" w:rsidRDefault="00A54984" w:rsidP="00A54984">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 </w:t>
      </w:r>
    </w:p>
    <w:tbl>
      <w:tblPr>
        <w:tblW w:w="5000" w:type="pct"/>
        <w:tblCellMar>
          <w:top w:w="60" w:type="dxa"/>
          <w:left w:w="60" w:type="dxa"/>
          <w:bottom w:w="60" w:type="dxa"/>
          <w:right w:w="60" w:type="dxa"/>
        </w:tblCellMar>
        <w:tblLook w:val="04A0" w:firstRow="1" w:lastRow="0" w:firstColumn="1" w:lastColumn="0" w:noHBand="0" w:noVBand="1"/>
      </w:tblPr>
      <w:tblGrid>
        <w:gridCol w:w="4677"/>
        <w:gridCol w:w="4678"/>
      </w:tblGrid>
      <w:tr w:rsidR="00A54984" w:rsidRPr="008A17BD" w:rsidTr="006E43EC">
        <w:tc>
          <w:tcPr>
            <w:tcW w:w="2500" w:type="pct"/>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Перший заступник Міністра</w:t>
            </w:r>
            <w:r w:rsidRPr="008A17BD">
              <w:rPr>
                <w:rFonts w:ascii="Times New Roman" w:eastAsia="Times New Roman" w:hAnsi="Times New Roman" w:cs="Times New Roman"/>
                <w:b/>
                <w:bCs/>
                <w:sz w:val="24"/>
                <w:szCs w:val="24"/>
                <w:lang w:eastAsia="ru-RU"/>
              </w:rPr>
              <w:br/>
              <w:t>аграрної політики та</w:t>
            </w:r>
            <w:r w:rsidRPr="008A17BD">
              <w:rPr>
                <w:rFonts w:ascii="Times New Roman" w:eastAsia="Times New Roman" w:hAnsi="Times New Roman" w:cs="Times New Roman"/>
                <w:b/>
                <w:bCs/>
                <w:sz w:val="24"/>
                <w:szCs w:val="24"/>
                <w:lang w:eastAsia="ru-RU"/>
              </w:rPr>
              <w:br/>
              <w:t>продовольства України</w:t>
            </w:r>
          </w:p>
        </w:tc>
        <w:tc>
          <w:tcPr>
            <w:tcW w:w="2500" w:type="pct"/>
            <w:shd w:val="clear" w:color="auto" w:fill="auto"/>
            <w:tcMar>
              <w:top w:w="0" w:type="dxa"/>
              <w:left w:w="0" w:type="dxa"/>
              <w:bottom w:w="0" w:type="dxa"/>
              <w:right w:w="0" w:type="dxa"/>
            </w:tcMar>
            <w:vAlign w:val="center"/>
            <w:hideMark/>
          </w:tcPr>
          <w:p w:rsidR="00A54984" w:rsidRPr="008A17BD" w:rsidRDefault="00A54984" w:rsidP="00A54984">
            <w:pPr>
              <w:spacing w:after="165" w:line="240" w:lineRule="auto"/>
              <w:jc w:val="right"/>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Тарас ВИСОЦЬКИЙ</w:t>
            </w:r>
          </w:p>
        </w:tc>
      </w:tr>
      <w:tr w:rsidR="00A54984" w:rsidRPr="008A17BD" w:rsidTr="006E43EC">
        <w:tc>
          <w:tcPr>
            <w:tcW w:w="2500" w:type="pct"/>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ПОГОДЖЕНО:</w:t>
            </w:r>
          </w:p>
        </w:tc>
        <w:tc>
          <w:tcPr>
            <w:tcW w:w="2500" w:type="pct"/>
            <w:shd w:val="clear" w:color="auto" w:fill="auto"/>
            <w:tcMar>
              <w:top w:w="0" w:type="dxa"/>
              <w:left w:w="0" w:type="dxa"/>
              <w:bottom w:w="0" w:type="dxa"/>
              <w:right w:w="0" w:type="dxa"/>
            </w:tcMar>
            <w:vAlign w:val="center"/>
            <w:hideMark/>
          </w:tcPr>
          <w:p w:rsidR="00A54984" w:rsidRPr="008A17BD" w:rsidRDefault="00A54984" w:rsidP="00A54984">
            <w:pPr>
              <w:spacing w:after="165" w:line="240" w:lineRule="auto"/>
              <w:jc w:val="right"/>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 </w:t>
            </w:r>
          </w:p>
        </w:tc>
      </w:tr>
      <w:tr w:rsidR="00A54984" w:rsidRPr="008A17BD" w:rsidTr="006E43EC">
        <w:tc>
          <w:tcPr>
            <w:tcW w:w="2500" w:type="pct"/>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В. о. Міністра фінансів України</w:t>
            </w:r>
          </w:p>
        </w:tc>
        <w:tc>
          <w:tcPr>
            <w:tcW w:w="2500" w:type="pct"/>
            <w:shd w:val="clear" w:color="auto" w:fill="auto"/>
            <w:tcMar>
              <w:top w:w="0" w:type="dxa"/>
              <w:left w:w="0" w:type="dxa"/>
              <w:bottom w:w="0" w:type="dxa"/>
              <w:right w:w="0" w:type="dxa"/>
            </w:tcMar>
            <w:vAlign w:val="center"/>
            <w:hideMark/>
          </w:tcPr>
          <w:p w:rsidR="00A54984" w:rsidRPr="008A17BD" w:rsidRDefault="00A54984" w:rsidP="00A54984">
            <w:pPr>
              <w:spacing w:after="165" w:line="240" w:lineRule="auto"/>
              <w:jc w:val="right"/>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Денис УЛЮТІН</w:t>
            </w:r>
          </w:p>
        </w:tc>
      </w:tr>
      <w:tr w:rsidR="00A54984" w:rsidRPr="008A17BD" w:rsidTr="006E43EC">
        <w:tc>
          <w:tcPr>
            <w:tcW w:w="2500" w:type="pct"/>
            <w:shd w:val="clear" w:color="auto" w:fill="auto"/>
            <w:tcMar>
              <w:top w:w="0" w:type="dxa"/>
              <w:left w:w="0" w:type="dxa"/>
              <w:bottom w:w="0" w:type="dxa"/>
              <w:right w:w="0" w:type="dxa"/>
            </w:tcMar>
            <w:vAlign w:val="center"/>
            <w:hideMark/>
          </w:tcPr>
          <w:p w:rsidR="00A54984" w:rsidRPr="008A17BD" w:rsidRDefault="00A54984" w:rsidP="006E43EC">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В. о. Голови Державної</w:t>
            </w:r>
            <w:r w:rsidRPr="008A17BD">
              <w:rPr>
                <w:rFonts w:ascii="Times New Roman" w:eastAsia="Times New Roman" w:hAnsi="Times New Roman" w:cs="Times New Roman"/>
                <w:b/>
                <w:bCs/>
                <w:sz w:val="24"/>
                <w:szCs w:val="24"/>
                <w:lang w:eastAsia="ru-RU"/>
              </w:rPr>
              <w:br/>
              <w:t>регуляторної служби України</w:t>
            </w:r>
          </w:p>
        </w:tc>
        <w:tc>
          <w:tcPr>
            <w:tcW w:w="2500" w:type="pct"/>
            <w:shd w:val="clear" w:color="auto" w:fill="auto"/>
            <w:tcMar>
              <w:top w:w="0" w:type="dxa"/>
              <w:left w:w="0" w:type="dxa"/>
              <w:bottom w:w="0" w:type="dxa"/>
              <w:right w:w="0" w:type="dxa"/>
            </w:tcMar>
            <w:vAlign w:val="center"/>
            <w:hideMark/>
          </w:tcPr>
          <w:p w:rsidR="00A54984" w:rsidRPr="008A17BD" w:rsidRDefault="00A54984" w:rsidP="00A54984">
            <w:pPr>
              <w:spacing w:after="165" w:line="240" w:lineRule="auto"/>
              <w:jc w:val="right"/>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Олександр КРАСНОЛУЦЬКИЙ</w:t>
            </w:r>
          </w:p>
        </w:tc>
      </w:tr>
    </w:tbl>
    <w:p w:rsidR="00A54984" w:rsidRPr="00C6603D" w:rsidRDefault="00A54984" w:rsidP="00A54984"/>
    <w:p w:rsidR="00AD673F" w:rsidRDefault="00A54984"/>
    <w:sectPr w:rsidR="00AD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84"/>
    <w:rsid w:val="000E62B1"/>
    <w:rsid w:val="001853ED"/>
    <w:rsid w:val="008033FF"/>
    <w:rsid w:val="009E4569"/>
    <w:rsid w:val="00A549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A6E31-2478-45AE-AFF7-45991111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2021</Words>
  <Characters>1152</Characters>
  <Application>Microsoft Office Word</Application>
  <DocSecurity>0</DocSecurity>
  <Lines>9</Lines>
  <Paragraphs>6</Paragraphs>
  <ScaleCrop>false</ScaleCrop>
  <Company>SPecialiST RePack</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2025-07-11T05:28:00Z</dcterms:created>
  <dcterms:modified xsi:type="dcterms:W3CDTF">2025-07-11T05:29:00Z</dcterms:modified>
</cp:coreProperties>
</file>